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B3" w:rsidRDefault="001232B3" w:rsidP="001232B3">
      <w:pPr>
        <w:pBdr>
          <w:top w:val="single" w:sz="4" w:space="1" w:color="auto"/>
        </w:pBdr>
        <w:jc w:val="both"/>
        <w:rPr>
          <w:rFonts w:ascii="Arial" w:hAnsi="Arial" w:cs="Arial"/>
          <w:spacing w:val="-3"/>
          <w:sz w:val="22"/>
          <w:szCs w:val="22"/>
        </w:rPr>
      </w:pPr>
      <w:bookmarkStart w:id="0" w:name="_GoBack"/>
      <w:bookmarkEnd w:id="0"/>
    </w:p>
    <w:p w:rsidR="002D1617" w:rsidRDefault="005E62C3" w:rsidP="001232B3">
      <w:pPr>
        <w:numPr>
          <w:ilvl w:val="0"/>
          <w:numId w:val="10"/>
        </w:numPr>
        <w:pBdr>
          <w:top w:val="single" w:sz="4" w:space="1" w:color="auto"/>
        </w:pBdr>
        <w:tabs>
          <w:tab w:val="clear" w:pos="720"/>
          <w:tab w:val="num" w:pos="360"/>
        </w:tabs>
        <w:ind w:left="360"/>
        <w:jc w:val="both"/>
        <w:rPr>
          <w:rFonts w:ascii="Arial" w:hAnsi="Arial" w:cs="Arial"/>
          <w:spacing w:val="-3"/>
          <w:sz w:val="22"/>
          <w:szCs w:val="22"/>
        </w:rPr>
      </w:pPr>
      <w:r w:rsidRPr="005E62C3">
        <w:rPr>
          <w:rFonts w:ascii="Arial" w:hAnsi="Arial" w:cs="Arial"/>
          <w:spacing w:val="-3"/>
          <w:sz w:val="22"/>
          <w:szCs w:val="22"/>
        </w:rPr>
        <w:t xml:space="preserve">Cabinet previously endorsed the ‘Queensland Government Strategy to Reduce Domestic and Family Violence 2009-2014’ (the Strategy) and approved the Terms of Reference for a review of the </w:t>
      </w:r>
      <w:r w:rsidRPr="005E62C3">
        <w:rPr>
          <w:rFonts w:ascii="Arial" w:hAnsi="Arial" w:cs="Arial"/>
          <w:i/>
          <w:spacing w:val="-3"/>
          <w:sz w:val="22"/>
          <w:szCs w:val="22"/>
        </w:rPr>
        <w:t>Domestic and Family Violence Protection Act 1989</w:t>
      </w:r>
      <w:r w:rsidRPr="005E62C3">
        <w:rPr>
          <w:rFonts w:ascii="Arial" w:hAnsi="Arial" w:cs="Arial"/>
          <w:spacing w:val="-3"/>
          <w:sz w:val="22"/>
          <w:szCs w:val="22"/>
        </w:rPr>
        <w:t xml:space="preserve"> (DFVPA). </w:t>
      </w:r>
    </w:p>
    <w:p w:rsidR="002D1617" w:rsidRDefault="002D1617" w:rsidP="002D1617">
      <w:pPr>
        <w:ind w:left="360"/>
        <w:jc w:val="both"/>
        <w:rPr>
          <w:rFonts w:ascii="Arial" w:hAnsi="Arial" w:cs="Arial"/>
          <w:spacing w:val="-3"/>
          <w:sz w:val="22"/>
          <w:szCs w:val="22"/>
        </w:rPr>
      </w:pPr>
    </w:p>
    <w:p w:rsidR="005E62C3" w:rsidRPr="005E62C3" w:rsidRDefault="005E62C3" w:rsidP="002D1617">
      <w:pPr>
        <w:numPr>
          <w:ilvl w:val="0"/>
          <w:numId w:val="10"/>
        </w:numPr>
        <w:tabs>
          <w:tab w:val="clear" w:pos="720"/>
          <w:tab w:val="num" w:pos="360"/>
        </w:tabs>
        <w:ind w:left="360"/>
        <w:jc w:val="both"/>
        <w:rPr>
          <w:rFonts w:ascii="Arial" w:hAnsi="Arial" w:cs="Arial"/>
          <w:spacing w:val="-3"/>
          <w:sz w:val="22"/>
          <w:szCs w:val="22"/>
        </w:rPr>
      </w:pPr>
      <w:r w:rsidRPr="005E62C3">
        <w:rPr>
          <w:rFonts w:ascii="Arial" w:hAnsi="Arial" w:cs="Arial"/>
          <w:spacing w:val="-3"/>
          <w:sz w:val="22"/>
          <w:szCs w:val="22"/>
        </w:rPr>
        <w:t>The Department of Communities is leading the review of the DFVPA to ensure that the Act supports the implementation of the Strategy and is effective and efficient in protecting victims of domestic violence and holding perpetrators responsible for their behaviour. The review will involve an examination of the links between domestic and family violence and the broader justice system.</w:t>
      </w:r>
    </w:p>
    <w:p w:rsidR="005E62C3" w:rsidRPr="005E62C3" w:rsidRDefault="005E62C3" w:rsidP="002D1617">
      <w:pPr>
        <w:jc w:val="both"/>
        <w:rPr>
          <w:rFonts w:ascii="Arial" w:hAnsi="Arial" w:cs="Arial"/>
          <w:spacing w:val="-3"/>
          <w:sz w:val="22"/>
          <w:szCs w:val="22"/>
        </w:rPr>
      </w:pPr>
    </w:p>
    <w:p w:rsidR="005E62C3" w:rsidRPr="005E62C3" w:rsidRDefault="005E62C3" w:rsidP="002D1617">
      <w:pPr>
        <w:numPr>
          <w:ilvl w:val="0"/>
          <w:numId w:val="10"/>
        </w:numPr>
        <w:tabs>
          <w:tab w:val="clear" w:pos="720"/>
          <w:tab w:val="num" w:pos="360"/>
        </w:tabs>
        <w:ind w:left="360"/>
        <w:jc w:val="both"/>
        <w:rPr>
          <w:rFonts w:ascii="Arial" w:hAnsi="Arial" w:cs="Arial"/>
          <w:spacing w:val="-3"/>
          <w:sz w:val="22"/>
          <w:szCs w:val="22"/>
        </w:rPr>
      </w:pPr>
      <w:r w:rsidRPr="005E62C3">
        <w:rPr>
          <w:rFonts w:ascii="Arial" w:hAnsi="Arial" w:cs="Arial"/>
          <w:spacing w:val="-3"/>
          <w:sz w:val="22"/>
          <w:szCs w:val="22"/>
        </w:rPr>
        <w:t xml:space="preserve">As a result of consultation and research undertaken in the development of the Strategy, and targeted consultation conducted for the review during November–December 2009, a consultation paper namely, the ‘Review of the </w:t>
      </w:r>
      <w:r w:rsidRPr="005E62C3">
        <w:rPr>
          <w:rFonts w:ascii="Arial" w:hAnsi="Arial" w:cs="Arial"/>
          <w:i/>
          <w:spacing w:val="-3"/>
          <w:sz w:val="22"/>
          <w:szCs w:val="22"/>
        </w:rPr>
        <w:t xml:space="preserve">Domestic and Family Violence Protection Act 1989 </w:t>
      </w:r>
      <w:r w:rsidRPr="005E62C3">
        <w:rPr>
          <w:rFonts w:ascii="Arial" w:hAnsi="Arial" w:cs="Arial"/>
          <w:spacing w:val="-3"/>
          <w:sz w:val="22"/>
          <w:szCs w:val="22"/>
        </w:rPr>
        <w:t>consultation paper 2010’, has been developed which focuses on the following key areas:</w:t>
      </w:r>
    </w:p>
    <w:p w:rsidR="005E62C3" w:rsidRPr="005E62C3" w:rsidRDefault="005E62C3" w:rsidP="00A94708">
      <w:pPr>
        <w:numPr>
          <w:ilvl w:val="0"/>
          <w:numId w:val="20"/>
        </w:numPr>
        <w:spacing w:before="120"/>
        <w:ind w:left="1077" w:hanging="357"/>
        <w:jc w:val="both"/>
        <w:rPr>
          <w:rFonts w:ascii="Arial" w:hAnsi="Arial" w:cs="Arial"/>
          <w:sz w:val="22"/>
          <w:szCs w:val="22"/>
        </w:rPr>
      </w:pPr>
      <w:r w:rsidRPr="005E62C3">
        <w:rPr>
          <w:rFonts w:ascii="Arial" w:hAnsi="Arial" w:cs="Arial"/>
          <w:sz w:val="22"/>
          <w:szCs w:val="22"/>
        </w:rPr>
        <w:t>prevention;</w:t>
      </w:r>
    </w:p>
    <w:p w:rsidR="005E62C3" w:rsidRPr="005E62C3" w:rsidRDefault="005E62C3" w:rsidP="00A94708">
      <w:pPr>
        <w:numPr>
          <w:ilvl w:val="0"/>
          <w:numId w:val="20"/>
        </w:numPr>
        <w:spacing w:before="120"/>
        <w:ind w:left="1077" w:hanging="357"/>
        <w:jc w:val="both"/>
        <w:rPr>
          <w:rFonts w:ascii="Arial" w:hAnsi="Arial" w:cs="Arial"/>
          <w:sz w:val="22"/>
          <w:szCs w:val="22"/>
        </w:rPr>
      </w:pPr>
      <w:r w:rsidRPr="005E62C3">
        <w:rPr>
          <w:rFonts w:ascii="Arial" w:hAnsi="Arial" w:cs="Arial"/>
          <w:sz w:val="22"/>
          <w:szCs w:val="22"/>
        </w:rPr>
        <w:t>civil and criminal approaches;</w:t>
      </w:r>
    </w:p>
    <w:p w:rsidR="005E62C3" w:rsidRPr="005E62C3" w:rsidRDefault="005E62C3" w:rsidP="00A94708">
      <w:pPr>
        <w:numPr>
          <w:ilvl w:val="0"/>
          <w:numId w:val="20"/>
        </w:numPr>
        <w:spacing w:before="120"/>
        <w:ind w:left="1077" w:hanging="357"/>
        <w:jc w:val="both"/>
        <w:rPr>
          <w:rFonts w:ascii="Arial" w:hAnsi="Arial" w:cs="Arial"/>
          <w:sz w:val="22"/>
          <w:szCs w:val="22"/>
        </w:rPr>
      </w:pPr>
      <w:r w:rsidRPr="005E62C3">
        <w:rPr>
          <w:rFonts w:ascii="Arial" w:hAnsi="Arial" w:cs="Arial"/>
          <w:sz w:val="22"/>
          <w:szCs w:val="22"/>
        </w:rPr>
        <w:t>protection of victims;</w:t>
      </w:r>
    </w:p>
    <w:p w:rsidR="005E62C3" w:rsidRPr="005E62C3" w:rsidRDefault="005E62C3" w:rsidP="00A94708">
      <w:pPr>
        <w:numPr>
          <w:ilvl w:val="0"/>
          <w:numId w:val="20"/>
        </w:numPr>
        <w:spacing w:before="120"/>
        <w:ind w:left="1077" w:hanging="357"/>
        <w:jc w:val="both"/>
        <w:rPr>
          <w:rFonts w:ascii="Arial" w:hAnsi="Arial" w:cs="Arial"/>
          <w:sz w:val="22"/>
          <w:szCs w:val="22"/>
        </w:rPr>
      </w:pPr>
      <w:r w:rsidRPr="005E62C3">
        <w:rPr>
          <w:rFonts w:ascii="Arial" w:hAnsi="Arial" w:cs="Arial"/>
          <w:sz w:val="22"/>
          <w:szCs w:val="22"/>
        </w:rPr>
        <w:t>perpetrator accountability;</w:t>
      </w:r>
    </w:p>
    <w:p w:rsidR="005E62C3" w:rsidRPr="005E62C3" w:rsidRDefault="005E62C3" w:rsidP="00A94708">
      <w:pPr>
        <w:numPr>
          <w:ilvl w:val="0"/>
          <w:numId w:val="20"/>
        </w:numPr>
        <w:spacing w:before="120"/>
        <w:ind w:left="1077" w:hanging="357"/>
        <w:jc w:val="both"/>
        <w:rPr>
          <w:rFonts w:ascii="Arial" w:hAnsi="Arial" w:cs="Arial"/>
          <w:sz w:val="22"/>
          <w:szCs w:val="22"/>
        </w:rPr>
      </w:pPr>
      <w:r w:rsidRPr="005E62C3">
        <w:rPr>
          <w:rFonts w:ascii="Arial" w:hAnsi="Arial" w:cs="Arial"/>
          <w:sz w:val="22"/>
          <w:szCs w:val="22"/>
        </w:rPr>
        <w:t>system planning and coordination.</w:t>
      </w:r>
    </w:p>
    <w:p w:rsidR="005E62C3" w:rsidRPr="005E62C3" w:rsidRDefault="005E62C3" w:rsidP="002D1617">
      <w:pPr>
        <w:ind w:left="720"/>
        <w:jc w:val="both"/>
        <w:rPr>
          <w:rFonts w:ascii="Arial" w:hAnsi="Arial" w:cs="Arial"/>
          <w:sz w:val="22"/>
          <w:szCs w:val="22"/>
        </w:rPr>
      </w:pPr>
    </w:p>
    <w:p w:rsidR="005F4D55" w:rsidRDefault="005F4D55" w:rsidP="00FB3829">
      <w:pPr>
        <w:numPr>
          <w:ilvl w:val="0"/>
          <w:numId w:val="10"/>
        </w:numPr>
        <w:tabs>
          <w:tab w:val="clear" w:pos="720"/>
          <w:tab w:val="num" w:pos="360"/>
        </w:tabs>
        <w:ind w:left="360"/>
        <w:jc w:val="both"/>
        <w:rPr>
          <w:rFonts w:ascii="Arial" w:hAnsi="Arial" w:cs="Arial"/>
          <w:spacing w:val="-3"/>
          <w:sz w:val="22"/>
          <w:szCs w:val="22"/>
        </w:rPr>
      </w:pPr>
      <w:r w:rsidRPr="005F4D55">
        <w:rPr>
          <w:rFonts w:ascii="Arial" w:hAnsi="Arial" w:cs="Arial"/>
          <w:spacing w:val="-3"/>
          <w:sz w:val="22"/>
          <w:szCs w:val="22"/>
        </w:rPr>
        <w:t xml:space="preserve">Stakeholders </w:t>
      </w:r>
      <w:r w:rsidR="00D07AE9">
        <w:rPr>
          <w:rFonts w:ascii="Arial" w:hAnsi="Arial" w:cs="Arial"/>
          <w:spacing w:val="-3"/>
          <w:sz w:val="22"/>
          <w:szCs w:val="22"/>
        </w:rPr>
        <w:t xml:space="preserve">was </w:t>
      </w:r>
      <w:r w:rsidRPr="005F4D55">
        <w:rPr>
          <w:rFonts w:ascii="Arial" w:hAnsi="Arial" w:cs="Arial"/>
          <w:spacing w:val="-3"/>
          <w:sz w:val="22"/>
          <w:szCs w:val="22"/>
        </w:rPr>
        <w:t xml:space="preserve">invited to make submissions during March – May 2010 on the issues raised in the consultation paper. </w:t>
      </w:r>
      <w:r w:rsidR="00FB3829">
        <w:rPr>
          <w:rFonts w:ascii="Arial" w:hAnsi="Arial" w:cs="Arial"/>
          <w:spacing w:val="-3"/>
          <w:sz w:val="22"/>
          <w:szCs w:val="22"/>
        </w:rPr>
        <w:t xml:space="preserve"> The submissions received will be analysed and will inform the review.</w:t>
      </w:r>
    </w:p>
    <w:p w:rsidR="005F4D55" w:rsidRPr="005E62C3" w:rsidRDefault="005F4D55" w:rsidP="005F4D55">
      <w:pPr>
        <w:ind w:left="360"/>
        <w:jc w:val="both"/>
        <w:rPr>
          <w:rFonts w:ascii="Arial" w:hAnsi="Arial" w:cs="Arial"/>
          <w:spacing w:val="-3"/>
          <w:sz w:val="22"/>
          <w:szCs w:val="22"/>
        </w:rPr>
      </w:pPr>
    </w:p>
    <w:p w:rsidR="005E62C3" w:rsidRPr="005E62C3" w:rsidRDefault="005E62C3" w:rsidP="002D1617">
      <w:pPr>
        <w:numPr>
          <w:ilvl w:val="0"/>
          <w:numId w:val="10"/>
        </w:numPr>
        <w:tabs>
          <w:tab w:val="clear" w:pos="720"/>
          <w:tab w:val="num" w:pos="360"/>
        </w:tabs>
        <w:ind w:left="360"/>
        <w:jc w:val="both"/>
        <w:rPr>
          <w:rFonts w:ascii="Arial" w:hAnsi="Arial" w:cs="Arial"/>
          <w:bCs/>
          <w:i/>
          <w:spacing w:val="-3"/>
          <w:sz w:val="22"/>
          <w:szCs w:val="22"/>
        </w:rPr>
      </w:pPr>
      <w:r w:rsidRPr="005E62C3">
        <w:rPr>
          <w:rFonts w:ascii="Arial" w:hAnsi="Arial" w:cs="Arial"/>
          <w:sz w:val="22"/>
          <w:szCs w:val="22"/>
          <w:u w:val="single"/>
        </w:rPr>
        <w:t>Cabinet approved</w:t>
      </w:r>
      <w:r w:rsidRPr="00D006CA">
        <w:rPr>
          <w:rFonts w:ascii="Arial" w:hAnsi="Arial" w:cs="Arial"/>
          <w:sz w:val="22"/>
          <w:szCs w:val="22"/>
        </w:rPr>
        <w:t xml:space="preserve"> </w:t>
      </w:r>
      <w:r w:rsidRPr="005E62C3">
        <w:rPr>
          <w:rFonts w:ascii="Arial" w:hAnsi="Arial" w:cs="Arial"/>
          <w:sz w:val="22"/>
          <w:szCs w:val="22"/>
        </w:rPr>
        <w:t>the ‘Review of the</w:t>
      </w:r>
      <w:r w:rsidRPr="005E62C3">
        <w:rPr>
          <w:rFonts w:ascii="Arial" w:hAnsi="Arial" w:cs="Arial"/>
          <w:i/>
          <w:sz w:val="22"/>
          <w:szCs w:val="22"/>
        </w:rPr>
        <w:t xml:space="preserve"> Domestic and Family Violence Protection Act 1989 </w:t>
      </w:r>
      <w:r w:rsidRPr="005E62C3">
        <w:rPr>
          <w:rFonts w:ascii="Arial" w:hAnsi="Arial" w:cs="Arial"/>
          <w:sz w:val="22"/>
          <w:szCs w:val="22"/>
        </w:rPr>
        <w:t>consultation paper 2010’.</w:t>
      </w:r>
    </w:p>
    <w:p w:rsidR="005E62C3" w:rsidRPr="005E62C3" w:rsidRDefault="005E62C3" w:rsidP="002D1617">
      <w:pPr>
        <w:jc w:val="both"/>
        <w:rPr>
          <w:rFonts w:ascii="Arial" w:hAnsi="Arial" w:cs="Arial"/>
          <w:bCs/>
          <w:i/>
          <w:spacing w:val="-3"/>
          <w:sz w:val="22"/>
          <w:szCs w:val="22"/>
        </w:rPr>
      </w:pPr>
    </w:p>
    <w:p w:rsidR="005E62C3" w:rsidRPr="005E62C3" w:rsidRDefault="005E62C3" w:rsidP="002D1617">
      <w:pPr>
        <w:numPr>
          <w:ilvl w:val="0"/>
          <w:numId w:val="10"/>
        </w:numPr>
        <w:tabs>
          <w:tab w:val="clear" w:pos="720"/>
          <w:tab w:val="num" w:pos="360"/>
        </w:tabs>
        <w:ind w:left="360"/>
        <w:jc w:val="both"/>
        <w:rPr>
          <w:rFonts w:ascii="Arial" w:hAnsi="Arial" w:cs="Arial"/>
          <w:bCs/>
          <w:i/>
          <w:spacing w:val="-3"/>
          <w:sz w:val="22"/>
          <w:szCs w:val="22"/>
        </w:rPr>
      </w:pPr>
      <w:r w:rsidRPr="005E62C3">
        <w:rPr>
          <w:rFonts w:ascii="Arial" w:hAnsi="Arial" w:cs="Arial"/>
          <w:bCs/>
          <w:spacing w:val="-3"/>
          <w:sz w:val="22"/>
          <w:szCs w:val="22"/>
          <w:u w:val="single"/>
        </w:rPr>
        <w:t>Cabinet approved</w:t>
      </w:r>
      <w:r w:rsidRPr="005E62C3">
        <w:rPr>
          <w:rFonts w:ascii="Arial" w:hAnsi="Arial" w:cs="Arial"/>
          <w:bCs/>
          <w:spacing w:val="-3"/>
          <w:sz w:val="22"/>
          <w:szCs w:val="22"/>
        </w:rPr>
        <w:t xml:space="preserve"> the release of the </w:t>
      </w:r>
      <w:r w:rsidRPr="005E62C3">
        <w:rPr>
          <w:rFonts w:ascii="Arial" w:hAnsi="Arial" w:cs="Arial"/>
          <w:sz w:val="22"/>
          <w:szCs w:val="22"/>
        </w:rPr>
        <w:t>‘Review of the</w:t>
      </w:r>
      <w:r w:rsidRPr="005E62C3">
        <w:rPr>
          <w:rFonts w:ascii="Arial" w:hAnsi="Arial" w:cs="Arial"/>
          <w:i/>
          <w:sz w:val="22"/>
          <w:szCs w:val="22"/>
        </w:rPr>
        <w:t xml:space="preserve"> Domestic and Family Violence Protection Act 1989 </w:t>
      </w:r>
      <w:r w:rsidRPr="005E62C3">
        <w:rPr>
          <w:rFonts w:ascii="Arial" w:hAnsi="Arial" w:cs="Arial"/>
          <w:sz w:val="22"/>
          <w:szCs w:val="22"/>
        </w:rPr>
        <w:t>consultation paper 2010’ for public distribution.</w:t>
      </w:r>
    </w:p>
    <w:p w:rsidR="005E62C3" w:rsidRPr="005E62C3" w:rsidRDefault="005E62C3" w:rsidP="002D1617">
      <w:pPr>
        <w:jc w:val="both"/>
        <w:rPr>
          <w:rFonts w:ascii="Arial" w:hAnsi="Arial" w:cs="Arial"/>
          <w:bCs/>
          <w:i/>
          <w:spacing w:val="-3"/>
          <w:sz w:val="22"/>
          <w:szCs w:val="22"/>
        </w:rPr>
      </w:pPr>
    </w:p>
    <w:p w:rsidR="005E62C3" w:rsidRPr="005E62C3" w:rsidRDefault="005E62C3" w:rsidP="002D1617">
      <w:pPr>
        <w:numPr>
          <w:ilvl w:val="0"/>
          <w:numId w:val="10"/>
        </w:numPr>
        <w:tabs>
          <w:tab w:val="clear" w:pos="720"/>
          <w:tab w:val="num" w:pos="360"/>
        </w:tabs>
        <w:ind w:left="360"/>
        <w:jc w:val="both"/>
        <w:rPr>
          <w:rFonts w:ascii="Arial" w:hAnsi="Arial" w:cs="Arial"/>
          <w:bCs/>
          <w:i/>
          <w:spacing w:val="-3"/>
          <w:sz w:val="22"/>
          <w:szCs w:val="22"/>
        </w:rPr>
      </w:pPr>
      <w:r w:rsidRPr="005E62C3">
        <w:rPr>
          <w:rFonts w:ascii="Arial" w:hAnsi="Arial" w:cs="Arial"/>
          <w:sz w:val="22"/>
          <w:szCs w:val="22"/>
          <w:u w:val="single"/>
        </w:rPr>
        <w:t>Cabinet approved</w:t>
      </w:r>
      <w:r w:rsidRPr="005E62C3">
        <w:rPr>
          <w:rFonts w:ascii="Arial" w:hAnsi="Arial" w:cs="Arial"/>
          <w:sz w:val="22"/>
          <w:szCs w:val="22"/>
        </w:rPr>
        <w:t xml:space="preserve"> the public release of the report, ‘Alternative and Improved Responses to Domestic and Family Violence in Queensland Indigenous Communities’ by Professor Chris Cunneen.</w:t>
      </w:r>
    </w:p>
    <w:p w:rsidR="005E62C3" w:rsidRPr="005E62C3" w:rsidRDefault="005E62C3" w:rsidP="00D006CA">
      <w:pPr>
        <w:spacing w:before="120"/>
        <w:jc w:val="both"/>
        <w:rPr>
          <w:rFonts w:ascii="Arial" w:hAnsi="Arial" w:cs="Arial"/>
          <w:sz w:val="22"/>
          <w:szCs w:val="22"/>
        </w:rPr>
      </w:pPr>
    </w:p>
    <w:p w:rsidR="005E62C3" w:rsidRPr="005E62C3" w:rsidRDefault="005E62C3" w:rsidP="002D1617">
      <w:pPr>
        <w:keepNext/>
        <w:numPr>
          <w:ilvl w:val="0"/>
          <w:numId w:val="10"/>
        </w:numPr>
        <w:tabs>
          <w:tab w:val="clear" w:pos="720"/>
          <w:tab w:val="num" w:pos="360"/>
        </w:tabs>
        <w:ind w:left="357" w:hanging="357"/>
        <w:jc w:val="both"/>
        <w:rPr>
          <w:rFonts w:ascii="Arial" w:hAnsi="Arial" w:cs="Arial"/>
          <w:i/>
          <w:sz w:val="22"/>
          <w:szCs w:val="22"/>
          <w:u w:val="single"/>
        </w:rPr>
      </w:pPr>
      <w:r w:rsidRPr="005E62C3">
        <w:rPr>
          <w:rFonts w:ascii="Arial" w:hAnsi="Arial" w:cs="Arial"/>
          <w:i/>
          <w:sz w:val="22"/>
          <w:szCs w:val="22"/>
          <w:u w:val="single"/>
        </w:rPr>
        <w:t>Attachments</w:t>
      </w:r>
    </w:p>
    <w:p w:rsidR="005E62C3" w:rsidRPr="005E62C3" w:rsidRDefault="00E43CC8" w:rsidP="00D006CA">
      <w:pPr>
        <w:numPr>
          <w:ilvl w:val="0"/>
          <w:numId w:val="11"/>
        </w:numPr>
        <w:spacing w:before="120"/>
        <w:ind w:left="811"/>
        <w:jc w:val="both"/>
        <w:rPr>
          <w:rFonts w:ascii="Arial" w:hAnsi="Arial" w:cs="Arial"/>
          <w:sz w:val="22"/>
          <w:szCs w:val="22"/>
        </w:rPr>
      </w:pPr>
      <w:hyperlink r:id="rId7" w:history="1">
        <w:r w:rsidR="005E62C3" w:rsidRPr="00481A65">
          <w:rPr>
            <w:rStyle w:val="Hyperlink"/>
            <w:rFonts w:ascii="Arial" w:hAnsi="Arial" w:cs="Arial"/>
            <w:sz w:val="22"/>
            <w:szCs w:val="22"/>
          </w:rPr>
          <w:t>Review of the</w:t>
        </w:r>
        <w:r w:rsidR="005E62C3" w:rsidRPr="00481A65">
          <w:rPr>
            <w:rStyle w:val="Hyperlink"/>
            <w:rFonts w:ascii="Arial" w:hAnsi="Arial" w:cs="Arial"/>
            <w:i/>
            <w:sz w:val="22"/>
            <w:szCs w:val="22"/>
          </w:rPr>
          <w:t xml:space="preserve"> Domestic and Family Violence Protection Act 1989 </w:t>
        </w:r>
        <w:r w:rsidR="005E62C3" w:rsidRPr="00481A65">
          <w:rPr>
            <w:rStyle w:val="Hyperlink"/>
            <w:rFonts w:ascii="Arial" w:hAnsi="Arial" w:cs="Arial"/>
            <w:sz w:val="22"/>
            <w:szCs w:val="22"/>
          </w:rPr>
          <w:t>consultation paper 2010</w:t>
        </w:r>
      </w:hyperlink>
    </w:p>
    <w:p w:rsidR="005E62C3" w:rsidRPr="005E62C3" w:rsidRDefault="00E43CC8" w:rsidP="00D006CA">
      <w:pPr>
        <w:numPr>
          <w:ilvl w:val="0"/>
          <w:numId w:val="11"/>
        </w:numPr>
        <w:spacing w:before="120"/>
        <w:ind w:left="811"/>
        <w:jc w:val="both"/>
        <w:rPr>
          <w:rFonts w:ascii="Arial" w:hAnsi="Arial" w:cs="Arial"/>
          <w:sz w:val="22"/>
          <w:szCs w:val="22"/>
        </w:rPr>
      </w:pPr>
      <w:hyperlink r:id="rId8" w:history="1">
        <w:r w:rsidR="005E62C3" w:rsidRPr="00481A65">
          <w:rPr>
            <w:rStyle w:val="Hyperlink"/>
            <w:rFonts w:ascii="Arial" w:hAnsi="Arial" w:cs="Arial"/>
            <w:sz w:val="22"/>
            <w:szCs w:val="22"/>
          </w:rPr>
          <w:t>‘Alternative and Improved Responses to Domestic and Family Violence in Queensland Indigenous Communities’ by Professor Chris Cunneen</w:t>
        </w:r>
      </w:hyperlink>
    </w:p>
    <w:sectPr w:rsidR="005E62C3" w:rsidRPr="005E62C3" w:rsidSect="00A94708">
      <w:headerReference w:type="even" r:id="rId9"/>
      <w:headerReference w:type="default" r:id="rId10"/>
      <w:headerReference w:type="first" r:id="rId11"/>
      <w:pgSz w:w="11906" w:h="16838" w:code="9"/>
      <w:pgMar w:top="1134" w:right="1134" w:bottom="1134" w:left="1134" w:header="851" w:footer="8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98" w:rsidRDefault="00884C98">
      <w:r>
        <w:separator/>
      </w:r>
    </w:p>
  </w:endnote>
  <w:endnote w:type="continuationSeparator" w:id="0">
    <w:p w:rsidR="00884C98" w:rsidRDefault="0088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98" w:rsidRDefault="00884C98">
      <w:r>
        <w:separator/>
      </w:r>
    </w:p>
  </w:footnote>
  <w:footnote w:type="continuationSeparator" w:id="0">
    <w:p w:rsidR="00884C98" w:rsidRDefault="0088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D2" w:rsidRDefault="00E43CC8" w:rsidP="00E03709">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2"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02CD2">
      <w:rPr>
        <w:rStyle w:val="PageNumber"/>
      </w:rPr>
      <w:fldChar w:fldCharType="begin"/>
    </w:r>
    <w:r w:rsidR="00D02CD2">
      <w:rPr>
        <w:rStyle w:val="PageNumber"/>
      </w:rPr>
      <w:instrText xml:space="preserve">PAGE  </w:instrText>
    </w:r>
    <w:r w:rsidR="00D02CD2">
      <w:rPr>
        <w:rStyle w:val="PageNumber"/>
      </w:rPr>
      <w:fldChar w:fldCharType="end"/>
    </w:r>
  </w:p>
  <w:p w:rsidR="00D02CD2" w:rsidRDefault="00D02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D2" w:rsidRPr="000400F9" w:rsidRDefault="00CC2136" w:rsidP="005E62C3">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5"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02CD2">
      <w:rPr>
        <w:rFonts w:ascii="Arial" w:hAnsi="Arial" w:cs="Arial"/>
        <w:b/>
        <w:sz w:val="22"/>
        <w:szCs w:val="22"/>
        <w:u w:val="single"/>
      </w:rPr>
      <w:t>Cabinet – February 2010</w:t>
    </w:r>
  </w:p>
  <w:p w:rsidR="00D02CD2" w:rsidRPr="005E62C3" w:rsidRDefault="00D02CD2" w:rsidP="005E62C3">
    <w:pPr>
      <w:pStyle w:val="Header"/>
      <w:spacing w:before="120"/>
      <w:rPr>
        <w:rFonts w:ascii="Arial" w:hAnsi="Arial" w:cs="Arial"/>
        <w:b/>
        <w:sz w:val="22"/>
        <w:szCs w:val="22"/>
        <w:u w:val="single"/>
      </w:rPr>
    </w:pPr>
    <w:r w:rsidRPr="005E62C3">
      <w:rPr>
        <w:rFonts w:ascii="Arial" w:hAnsi="Arial" w:cs="Arial"/>
        <w:b/>
        <w:sz w:val="22"/>
        <w:szCs w:val="22"/>
        <w:u w:val="single"/>
      </w:rPr>
      <w:t xml:space="preserve">Review of the </w:t>
    </w:r>
    <w:r w:rsidRPr="005E62C3">
      <w:rPr>
        <w:rFonts w:ascii="Arial" w:hAnsi="Arial" w:cs="Arial"/>
        <w:b/>
        <w:i/>
        <w:sz w:val="22"/>
        <w:szCs w:val="22"/>
        <w:u w:val="single"/>
      </w:rPr>
      <w:t>Domestic and Family Violence Protection Act 1989</w:t>
    </w:r>
  </w:p>
  <w:p w:rsidR="00D02CD2" w:rsidRPr="005E62C3" w:rsidRDefault="00D02CD2" w:rsidP="005E62C3">
    <w:pPr>
      <w:pStyle w:val="Header"/>
      <w:spacing w:before="120"/>
      <w:rPr>
        <w:rFonts w:ascii="Arial" w:hAnsi="Arial" w:cs="Arial"/>
        <w:b/>
        <w:sz w:val="22"/>
        <w:szCs w:val="22"/>
        <w:u w:val="single"/>
      </w:rPr>
    </w:pPr>
    <w:r w:rsidRPr="005E62C3">
      <w:rPr>
        <w:rFonts w:ascii="Arial" w:hAnsi="Arial" w:cs="Arial"/>
        <w:b/>
        <w:sz w:val="22"/>
        <w:szCs w:val="22"/>
        <w:u w:val="single"/>
      </w:rPr>
      <w:t>Minister for Community Services and Housing and Minister for Women</w:t>
    </w:r>
  </w:p>
  <w:p w:rsidR="00D02CD2" w:rsidRDefault="00D02CD2">
    <w:pPr>
      <w:pStyle w:val="Header"/>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D2" w:rsidRDefault="00D02CD2" w:rsidP="00E03709">
    <w:pPr>
      <w:pStyle w:val="Header"/>
      <w:spacing w:line="180" w:lineRule="exact"/>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05AEBD8"/>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720"/>
        </w:tabs>
      </w:pPr>
    </w:lvl>
    <w:lvl w:ilvl="1" w:tplc="FFFFFFFF">
      <w:numFmt w:val="bullet"/>
      <w:lvlText w:val="·"/>
      <w:lvlJc w:val="left"/>
      <w:pPr>
        <w:tabs>
          <w:tab w:val="num" w:pos="-72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42FED"/>
    <w:multiLevelType w:val="hybridMultilevel"/>
    <w:tmpl w:val="C6E24E20"/>
    <w:lvl w:ilvl="0" w:tplc="CEF06234">
      <w:start w:val="1"/>
      <w:numFmt w:val="bullet"/>
      <w:lvlText w:val=""/>
      <w:lvlJc w:val="left"/>
      <w:pPr>
        <w:tabs>
          <w:tab w:val="num" w:pos="340"/>
        </w:tabs>
        <w:ind w:left="340" w:hanging="340"/>
      </w:pPr>
      <w:rPr>
        <w:rFonts w:ascii="Symbol" w:hAnsi="Symbol" w:hint="default"/>
      </w:rPr>
    </w:lvl>
    <w:lvl w:ilvl="1" w:tplc="FFFFFFFF">
      <w:numFmt w:val="bullet"/>
      <w:lvlText w:val="·"/>
      <w:lvlJc w:val="left"/>
      <w:pPr>
        <w:tabs>
          <w:tab w:val="num" w:pos="-72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E40436"/>
    <w:multiLevelType w:val="hybridMultilevel"/>
    <w:tmpl w:val="981004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3E5121D"/>
    <w:multiLevelType w:val="multilevel"/>
    <w:tmpl w:val="00000000"/>
    <w:lvl w:ilvl="0">
      <w:start w:val="1"/>
      <w:numFmt w:val="decimal"/>
      <w:lvlText w:val="%1."/>
      <w:lvlJc w:val="left"/>
      <w:pPr>
        <w:tabs>
          <w:tab w:val="num" w:pos="-360"/>
        </w:tabs>
      </w:pPr>
    </w:lvl>
    <w:lvl w:ilvl="1">
      <w:numFmt w:val="bullet"/>
      <w:lvlText w:val="·"/>
      <w:lvlJc w:val="left"/>
      <w:pPr>
        <w:tabs>
          <w:tab w:val="num" w:pos="-360"/>
        </w:tabs>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113D42"/>
    <w:multiLevelType w:val="hybridMultilevel"/>
    <w:tmpl w:val="20E8E32C"/>
    <w:lvl w:ilvl="0" w:tplc="00CE3C98">
      <w:start w:val="28"/>
      <w:numFmt w:val="decimal"/>
      <w:lvlText w:val="%1."/>
      <w:lvlJc w:val="left"/>
      <w:pPr>
        <w:tabs>
          <w:tab w:val="num" w:pos="360"/>
        </w:tabs>
        <w:ind w:left="360" w:hanging="360"/>
      </w:pPr>
      <w:rPr>
        <w:rFonts w:ascii="Times New Roman" w:hAnsi="Times New Roman"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B2B208E"/>
    <w:multiLevelType w:val="hybridMultilevel"/>
    <w:tmpl w:val="3A5C547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4A0431"/>
    <w:multiLevelType w:val="hybridMultilevel"/>
    <w:tmpl w:val="050E6B26"/>
    <w:lvl w:ilvl="0" w:tplc="0C090001">
      <w:start w:val="1"/>
      <w:numFmt w:val="bullet"/>
      <w:lvlText w:val=""/>
      <w:lvlJc w:val="left"/>
      <w:pPr>
        <w:tabs>
          <w:tab w:val="num" w:pos="360"/>
        </w:tabs>
        <w:ind w:left="360" w:hanging="360"/>
      </w:pPr>
      <w:rPr>
        <w:rFonts w:ascii="Symbol" w:hAnsi="Symbol" w:hint="default"/>
        <w:i w:val="0"/>
      </w:rPr>
    </w:lvl>
    <w:lvl w:ilvl="1" w:tplc="0C090001">
      <w:start w:val="1"/>
      <w:numFmt w:val="bullet"/>
      <w:lvlText w:val=""/>
      <w:lvlJc w:val="left"/>
      <w:pPr>
        <w:tabs>
          <w:tab w:val="num" w:pos="1080"/>
        </w:tabs>
        <w:ind w:left="1080" w:hanging="360"/>
      </w:pPr>
      <w:rPr>
        <w:rFonts w:ascii="Symbol" w:hAnsi="Symbol" w:hint="default"/>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18D43821"/>
    <w:multiLevelType w:val="hybridMultilevel"/>
    <w:tmpl w:val="00EA70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2B14C5"/>
    <w:multiLevelType w:val="hybridMultilevel"/>
    <w:tmpl w:val="DECA7A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27183"/>
    <w:multiLevelType w:val="hybridMultilevel"/>
    <w:tmpl w:val="D7BCE116"/>
    <w:lvl w:ilvl="0" w:tplc="0C090001">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2B5098"/>
    <w:multiLevelType w:val="hybridMultilevel"/>
    <w:tmpl w:val="36E0AB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3AE140D"/>
    <w:multiLevelType w:val="hybridMultilevel"/>
    <w:tmpl w:val="D75C8BB4"/>
    <w:lvl w:ilvl="0" w:tplc="7C24D396">
      <w:start w:val="1"/>
      <w:numFmt w:val="bullet"/>
      <w:lvlText w:val=""/>
      <w:lvlJc w:val="left"/>
      <w:pPr>
        <w:tabs>
          <w:tab w:val="num" w:pos="340"/>
        </w:tabs>
        <w:ind w:left="340" w:hanging="340"/>
      </w:pPr>
      <w:rPr>
        <w:rFonts w:ascii="Symbol" w:hAnsi="Symbol" w:hint="default"/>
      </w:rPr>
    </w:lvl>
    <w:lvl w:ilvl="1" w:tplc="FFFFFFFF">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2A2063"/>
    <w:multiLevelType w:val="hybridMultilevel"/>
    <w:tmpl w:val="3E2EED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2D26B84"/>
    <w:multiLevelType w:val="singleLevel"/>
    <w:tmpl w:val="10B8BBFC"/>
    <w:lvl w:ilvl="0">
      <w:start w:val="34"/>
      <w:numFmt w:val="decimal"/>
      <w:lvlText w:val="%1."/>
      <w:legacy w:legacy="1" w:legacySpace="0" w:legacyIndent="360"/>
      <w:lvlJc w:val="left"/>
      <w:rPr>
        <w:rFonts w:ascii="Arial" w:hAnsi="Arial" w:cs="Arial" w:hint="default"/>
      </w:rPr>
    </w:lvl>
  </w:abstractNum>
  <w:abstractNum w:abstractNumId="19" w15:restartNumberingAfterBreak="0">
    <w:nsid w:val="34B37324"/>
    <w:multiLevelType w:val="multilevel"/>
    <w:tmpl w:val="D7BCE116"/>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360"/>
        </w:tabs>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D16C70"/>
    <w:multiLevelType w:val="hybridMultilevel"/>
    <w:tmpl w:val="816EDC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3E6D4B"/>
    <w:multiLevelType w:val="hybridMultilevel"/>
    <w:tmpl w:val="4F04DE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F718A"/>
    <w:multiLevelType w:val="hybridMultilevel"/>
    <w:tmpl w:val="0B2290A4"/>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C25476F"/>
    <w:multiLevelType w:val="multilevel"/>
    <w:tmpl w:val="C88E7400"/>
    <w:lvl w:ilvl="0">
      <w:start w:val="1"/>
      <w:numFmt w:val="bullet"/>
      <w:lvlText w:val=""/>
      <w:lvlJc w:val="left"/>
      <w:pPr>
        <w:tabs>
          <w:tab w:val="num" w:pos="454"/>
        </w:tabs>
        <w:ind w:left="454" w:hanging="454"/>
      </w:pPr>
      <w:rPr>
        <w:rFonts w:ascii="Symbol" w:hAnsi="Symbol" w:hint="default"/>
      </w:rPr>
    </w:lvl>
    <w:lvl w:ilvl="1">
      <w:numFmt w:val="bullet"/>
      <w:lvlText w:val="·"/>
      <w:lvlJc w:val="left"/>
      <w:pPr>
        <w:tabs>
          <w:tab w:val="num" w:pos="-360"/>
        </w:tabs>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FD1464"/>
    <w:multiLevelType w:val="multilevel"/>
    <w:tmpl w:val="00000000"/>
    <w:lvl w:ilvl="0">
      <w:start w:val="1"/>
      <w:numFmt w:val="decimal"/>
      <w:lvlText w:val="%1."/>
      <w:lvlJc w:val="left"/>
      <w:pPr>
        <w:tabs>
          <w:tab w:val="num" w:pos="-720"/>
        </w:tabs>
      </w:pPr>
    </w:lvl>
    <w:lvl w:ilvl="1">
      <w:numFmt w:val="bullet"/>
      <w:lvlText w:val="·"/>
      <w:lvlJc w:val="left"/>
      <w:pPr>
        <w:tabs>
          <w:tab w:val="num" w:pos="-720"/>
        </w:tabs>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F55072"/>
    <w:multiLevelType w:val="hybridMultilevel"/>
    <w:tmpl w:val="E0769BB8"/>
    <w:lvl w:ilvl="0" w:tplc="4C909B4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ED786F"/>
    <w:multiLevelType w:val="hybridMultilevel"/>
    <w:tmpl w:val="73C0184C"/>
    <w:lvl w:ilvl="0" w:tplc="8182CDC0">
      <w:start w:val="1"/>
      <w:numFmt w:val="decimal"/>
      <w:lvlText w:val="%1."/>
      <w:lvlJc w:val="left"/>
      <w:pPr>
        <w:tabs>
          <w:tab w:val="num" w:pos="360"/>
        </w:tabs>
        <w:ind w:left="360" w:hanging="360"/>
      </w:pPr>
      <w:rPr>
        <w:rFonts w:hint="default"/>
        <w:i w:val="0"/>
      </w:rPr>
    </w:lvl>
    <w:lvl w:ilvl="1" w:tplc="12EEAFEC">
      <w:start w:val="1"/>
      <w:numFmt w:val="lowerRoman"/>
      <w:lvlText w:val="(%2)."/>
      <w:lvlJc w:val="left"/>
      <w:pPr>
        <w:tabs>
          <w:tab w:val="num" w:pos="1080"/>
        </w:tabs>
        <w:ind w:left="1080" w:hanging="360"/>
      </w:pPr>
      <w:rPr>
        <w:rFonts w:hint="default"/>
        <w:b w:val="0"/>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67CB2513"/>
    <w:multiLevelType w:val="hybridMultilevel"/>
    <w:tmpl w:val="02500FF2"/>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0250DD9"/>
    <w:multiLevelType w:val="hybridMultilevel"/>
    <w:tmpl w:val="C88E7400"/>
    <w:lvl w:ilvl="0" w:tplc="97CC0EA0">
      <w:start w:val="1"/>
      <w:numFmt w:val="bullet"/>
      <w:lvlText w:val=""/>
      <w:lvlJc w:val="left"/>
      <w:pPr>
        <w:tabs>
          <w:tab w:val="num" w:pos="454"/>
        </w:tabs>
        <w:ind w:left="454" w:hanging="454"/>
      </w:pPr>
      <w:rPr>
        <w:rFonts w:ascii="Symbol" w:hAnsi="Symbol" w:hint="default"/>
      </w:rPr>
    </w:lvl>
    <w:lvl w:ilvl="1" w:tplc="FFFFFFFF">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A964E5"/>
    <w:multiLevelType w:val="multilevel"/>
    <w:tmpl w:val="E0769B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297FF3"/>
    <w:multiLevelType w:val="hybridMultilevel"/>
    <w:tmpl w:val="D494D7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E50628"/>
    <w:multiLevelType w:val="hybridMultilevel"/>
    <w:tmpl w:val="93CC9E7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BE4382"/>
    <w:multiLevelType w:val="hybridMultilevel"/>
    <w:tmpl w:val="C49C1CE4"/>
    <w:lvl w:ilvl="0" w:tplc="0B369A8C">
      <w:start w:val="1"/>
      <w:numFmt w:val="decimal"/>
      <w:lvlText w:val="%1."/>
      <w:lvlJc w:val="left"/>
      <w:pPr>
        <w:tabs>
          <w:tab w:val="num" w:pos="360"/>
        </w:tabs>
        <w:ind w:left="360" w:hanging="360"/>
      </w:pPr>
      <w:rPr>
        <w:i w:val="0"/>
      </w:rPr>
    </w:lvl>
    <w:lvl w:ilvl="1" w:tplc="0C090001">
      <w:start w:val="1"/>
      <w:numFmt w:val="bullet"/>
      <w:lvlText w:val=""/>
      <w:lvlJc w:val="left"/>
      <w:pPr>
        <w:tabs>
          <w:tab w:val="num" w:pos="1080"/>
        </w:tabs>
        <w:ind w:left="1080" w:hanging="360"/>
      </w:pPr>
      <w:rPr>
        <w:rFonts w:ascii="Symbol" w:hAnsi="Symbol" w:hint="default"/>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B1771B8"/>
    <w:multiLevelType w:val="hybridMultilevel"/>
    <w:tmpl w:val="DCF2EECE"/>
    <w:lvl w:ilvl="0" w:tplc="234CA47E">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176F87"/>
    <w:multiLevelType w:val="hybridMultilevel"/>
    <w:tmpl w:val="3A5AF850"/>
    <w:lvl w:ilvl="0" w:tplc="DB5A90E6">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36"/>
  </w:num>
  <w:num w:numId="4">
    <w:abstractNumId w:val="8"/>
  </w:num>
  <w:num w:numId="5">
    <w:abstractNumId w:val="7"/>
  </w:num>
  <w:num w:numId="6">
    <w:abstractNumId w:val="24"/>
  </w:num>
  <w:num w:numId="7">
    <w:abstractNumId w:val="30"/>
  </w:num>
  <w:num w:numId="8">
    <w:abstractNumId w:val="35"/>
  </w:num>
  <w:num w:numId="9">
    <w:abstractNumId w:val="21"/>
  </w:num>
  <w:num w:numId="10">
    <w:abstractNumId w:val="39"/>
  </w:num>
  <w:num w:numId="11">
    <w:abstractNumId w:val="37"/>
  </w:num>
  <w:num w:numId="12">
    <w:abstractNumId w:val="6"/>
  </w:num>
  <w:num w:numId="13">
    <w:abstractNumId w:val="33"/>
  </w:num>
  <w:num w:numId="14">
    <w:abstractNumId w:val="28"/>
  </w:num>
  <w:num w:numId="15">
    <w:abstractNumId w:val="34"/>
  </w:num>
  <w:num w:numId="16">
    <w:abstractNumId w:val="27"/>
  </w:num>
  <w:num w:numId="17">
    <w:abstractNumId w:val="29"/>
  </w:num>
  <w:num w:numId="18">
    <w:abstractNumId w:val="1"/>
  </w:num>
  <w:num w:numId="19">
    <w:abstractNumId w:val="3"/>
  </w:num>
  <w:num w:numId="20">
    <w:abstractNumId w:val="13"/>
  </w:num>
  <w:num w:numId="21">
    <w:abstractNumId w:val="22"/>
  </w:num>
  <w:num w:numId="22">
    <w:abstractNumId w:val="9"/>
  </w:num>
  <w:num w:numId="23">
    <w:abstractNumId w:val="15"/>
  </w:num>
  <w:num w:numId="24">
    <w:abstractNumId w:val="11"/>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8"/>
  </w:num>
  <w:num w:numId="27">
    <w:abstractNumId w:val="20"/>
  </w:num>
  <w:num w:numId="28">
    <w:abstractNumId w:val="4"/>
  </w:num>
  <w:num w:numId="29">
    <w:abstractNumId w:val="12"/>
  </w:num>
  <w:num w:numId="30">
    <w:abstractNumId w:val="19"/>
  </w:num>
  <w:num w:numId="31">
    <w:abstractNumId w:val="31"/>
  </w:num>
  <w:num w:numId="32">
    <w:abstractNumId w:val="25"/>
  </w:num>
  <w:num w:numId="33">
    <w:abstractNumId w:val="14"/>
  </w:num>
  <w:num w:numId="34">
    <w:abstractNumId w:val="32"/>
  </w:num>
  <w:num w:numId="35">
    <w:abstractNumId w:val="38"/>
  </w:num>
  <w:num w:numId="36">
    <w:abstractNumId w:val="26"/>
  </w:num>
  <w:num w:numId="37">
    <w:abstractNumId w:val="2"/>
  </w:num>
  <w:num w:numId="38">
    <w:abstractNumId w:val="10"/>
  </w:num>
  <w:num w:numId="39">
    <w:abstractNumId w:val="5"/>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C3"/>
    <w:rsid w:val="00066263"/>
    <w:rsid w:val="001232B3"/>
    <w:rsid w:val="00185154"/>
    <w:rsid w:val="001F5F30"/>
    <w:rsid w:val="002665D1"/>
    <w:rsid w:val="002D065C"/>
    <w:rsid w:val="002D1617"/>
    <w:rsid w:val="003427E4"/>
    <w:rsid w:val="00413199"/>
    <w:rsid w:val="00481A65"/>
    <w:rsid w:val="00526ADC"/>
    <w:rsid w:val="0054483E"/>
    <w:rsid w:val="005B2544"/>
    <w:rsid w:val="005E62C3"/>
    <w:rsid w:val="005F4D55"/>
    <w:rsid w:val="00884C98"/>
    <w:rsid w:val="008937DD"/>
    <w:rsid w:val="00900967"/>
    <w:rsid w:val="00A94708"/>
    <w:rsid w:val="00AE0C58"/>
    <w:rsid w:val="00C151C9"/>
    <w:rsid w:val="00C37607"/>
    <w:rsid w:val="00CC2136"/>
    <w:rsid w:val="00CE10FC"/>
    <w:rsid w:val="00D006CA"/>
    <w:rsid w:val="00D02CD2"/>
    <w:rsid w:val="00D07AE9"/>
    <w:rsid w:val="00E03709"/>
    <w:rsid w:val="00E43CC8"/>
    <w:rsid w:val="00F15121"/>
    <w:rsid w:val="00F27576"/>
    <w:rsid w:val="00F536BD"/>
    <w:rsid w:val="00F94050"/>
    <w:rsid w:val="00FB3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C3"/>
    <w:rPr>
      <w:color w:val="000000"/>
      <w:sz w:val="24"/>
    </w:rPr>
  </w:style>
  <w:style w:type="paragraph" w:styleId="Heading1">
    <w:name w:val="heading 1"/>
    <w:basedOn w:val="Normal"/>
    <w:next w:val="Normal"/>
    <w:qFormat/>
    <w:rsid w:val="005E62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5E62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5E62C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62C3"/>
    <w:pPr>
      <w:tabs>
        <w:tab w:val="center" w:pos="4153"/>
        <w:tab w:val="right" w:pos="8306"/>
      </w:tabs>
    </w:pPr>
    <w:rPr>
      <w:color w:val="auto"/>
    </w:rPr>
  </w:style>
  <w:style w:type="character" w:styleId="PageNumber">
    <w:name w:val="page number"/>
    <w:basedOn w:val="DefaultParagraphFont"/>
    <w:rsid w:val="005E62C3"/>
  </w:style>
  <w:style w:type="paragraph" w:styleId="Footer">
    <w:name w:val="footer"/>
    <w:basedOn w:val="Normal"/>
    <w:rsid w:val="005E62C3"/>
    <w:pPr>
      <w:tabs>
        <w:tab w:val="center" w:pos="4153"/>
        <w:tab w:val="right" w:pos="8306"/>
      </w:tabs>
    </w:pPr>
  </w:style>
  <w:style w:type="paragraph" w:customStyle="1" w:styleId="11">
    <w:name w:val="1(1)"/>
    <w:rsid w:val="005E62C3"/>
    <w:pPr>
      <w:widowControl w:val="0"/>
      <w:ind w:left="720" w:hanging="720"/>
    </w:pPr>
    <w:rPr>
      <w:rFonts w:ascii="Arial" w:hAnsi="Arial" w:cs="Arial"/>
      <w:color w:val="000000"/>
      <w:sz w:val="24"/>
      <w:szCs w:val="24"/>
    </w:rPr>
  </w:style>
  <w:style w:type="paragraph" w:styleId="BodyText">
    <w:name w:val="Body Text"/>
    <w:basedOn w:val="Normal"/>
    <w:rsid w:val="005E62C3"/>
    <w:rPr>
      <w:color w:val="auto"/>
      <w:lang w:eastAsia="en-US"/>
    </w:rPr>
  </w:style>
  <w:style w:type="table" w:styleId="TableGrid">
    <w:name w:val="Table Grid"/>
    <w:basedOn w:val="TableNormal"/>
    <w:rsid w:val="005E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5E62C3"/>
    <w:rPr>
      <w:sz w:val="20"/>
    </w:rPr>
  </w:style>
  <w:style w:type="character" w:customStyle="1" w:styleId="CommentTextChar">
    <w:name w:val="Comment Text Char"/>
    <w:link w:val="CommentText"/>
    <w:semiHidden/>
    <w:locked/>
    <w:rsid w:val="005E62C3"/>
    <w:rPr>
      <w:color w:val="000000"/>
      <w:lang w:val="en-AU" w:eastAsia="en-AU" w:bidi="ar-SA"/>
    </w:rPr>
  </w:style>
  <w:style w:type="character" w:styleId="Hyperlink">
    <w:name w:val="Hyperlink"/>
    <w:rsid w:val="005E62C3"/>
    <w:rPr>
      <w:color w:val="0000FF"/>
      <w:u w:val="single"/>
    </w:rPr>
  </w:style>
  <w:style w:type="paragraph" w:styleId="FootnoteText">
    <w:name w:val="footnote text"/>
    <w:basedOn w:val="Normal"/>
    <w:semiHidden/>
    <w:rsid w:val="005E62C3"/>
    <w:rPr>
      <w:rFonts w:ascii="Arial" w:hAnsi="Arial"/>
      <w:color w:val="auto"/>
      <w:sz w:val="20"/>
    </w:rPr>
  </w:style>
  <w:style w:type="paragraph" w:styleId="BalloonText">
    <w:name w:val="Balloon Text"/>
    <w:basedOn w:val="Normal"/>
    <w:link w:val="BalloonTextChar"/>
    <w:rsid w:val="00D006CA"/>
    <w:rPr>
      <w:rFonts w:ascii="Tahoma" w:hAnsi="Tahoma" w:cs="Tahoma"/>
      <w:sz w:val="16"/>
      <w:szCs w:val="16"/>
    </w:rPr>
  </w:style>
  <w:style w:type="character" w:customStyle="1" w:styleId="BalloonTextChar">
    <w:name w:val="Balloon Text Char"/>
    <w:link w:val="BalloonText"/>
    <w:rsid w:val="00D006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lternative%20and%20improved%20respons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onsultation%20Pap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1714</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2000</CharactersWithSpaces>
  <SharedDoc>false</SharedDoc>
  <HyperlinkBase>https://www.cabinet.qld.gov.au/documents/2010/Feb/Domestic and Family Violence Protection Act/</HyperlinkBase>
  <HLinks>
    <vt:vector size="12" baseType="variant">
      <vt:variant>
        <vt:i4>5898298</vt:i4>
      </vt:variant>
      <vt:variant>
        <vt:i4>3</vt:i4>
      </vt:variant>
      <vt:variant>
        <vt:i4>0</vt:i4>
      </vt:variant>
      <vt:variant>
        <vt:i4>5</vt:i4>
      </vt:variant>
      <vt:variant>
        <vt:lpwstr>\\premiers\dpc\CABSECCOM\Right to Information - Cabinet\ToBeProcessed\2010\Feb\Domestic &amp; Family Violence Protection Act\Attachments\Alternative and improved responses.pdf</vt:lpwstr>
      </vt:variant>
      <vt:variant>
        <vt:lpwstr/>
      </vt:variant>
      <vt:variant>
        <vt:i4>4915254</vt:i4>
      </vt:variant>
      <vt:variant>
        <vt:i4>0</vt:i4>
      </vt:variant>
      <vt:variant>
        <vt:i4>0</vt:i4>
      </vt:variant>
      <vt:variant>
        <vt:i4>5</vt:i4>
      </vt:variant>
      <vt:variant>
        <vt:lpwstr>\\premiers\dpc\CABSECCOM\Right to Information - Cabinet\ToBeProcessed\2010\Feb\Domestic &amp; Family Violence Protection Act\Attachments\Consultation 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Aboriginal,Torres_Strait_Islander</cp:keywords>
  <dc:description/>
  <cp:lastModifiedBy/>
  <cp:revision>2</cp:revision>
  <dcterms:created xsi:type="dcterms:W3CDTF">2017-10-24T22:18:00Z</dcterms:created>
  <dcterms:modified xsi:type="dcterms:W3CDTF">2018-03-06T01:01:00Z</dcterms:modified>
  <cp:category>Crime,Justice,Violence,Family_Violence,Families,Indigenous,Aboriginal_and_Torres_Strait_Islander</cp:category>
</cp:coreProperties>
</file>